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A84" w:rsidRDefault="00193A84">
      <w:pPr>
        <w:rPr>
          <w:rFonts w:hint="cs"/>
          <w:rtl/>
        </w:rPr>
      </w:pPr>
    </w:p>
    <w:p w:rsidR="00EC7F44" w:rsidRDefault="00EC7F44">
      <w:pPr>
        <w:rPr>
          <w:rFonts w:hint="cs"/>
          <w:rtl/>
        </w:rPr>
      </w:pPr>
    </w:p>
    <w:p w:rsidR="00EC7F44" w:rsidRDefault="00EC7F44">
      <w:pPr>
        <w:rPr>
          <w:rFonts w:hint="cs"/>
          <w:rtl/>
        </w:rPr>
      </w:pPr>
    </w:p>
    <w:p w:rsidR="00EC7F44" w:rsidRDefault="00EC7F44">
      <w:pPr>
        <w:rPr>
          <w:rFonts w:hint="cs"/>
          <w:rtl/>
        </w:rPr>
      </w:pPr>
    </w:p>
    <w:p w:rsidR="00EC7F44" w:rsidRDefault="00EC7F44">
      <w:pPr>
        <w:rPr>
          <w:rFonts w:hint="cs"/>
          <w:rtl/>
        </w:rPr>
      </w:pPr>
      <w:r>
        <w:rPr>
          <w:noProof/>
        </w:rPr>
        <w:drawing>
          <wp:inline distT="0" distB="0" distL="0" distR="0">
            <wp:extent cx="1714500" cy="1704975"/>
            <wp:effectExtent l="19050" t="0" r="0" b="0"/>
            <wp:docPr id="1" name="r1sp1" descr="https://c.eu1.content.force.com/servlet/servlet.ImageServer?id=015D0000001TEv7&amp;oid=00DD0000000oHy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sp1" descr="https://c.eu1.content.force.com/servlet/servlet.ImageServer?id=015D0000001TEv7&amp;oid=00DD0000000oHyR"/>
                    <pic:cNvPicPr>
                      <a:picLocks noChangeAspect="1" noChangeArrowheads="1"/>
                    </pic:cNvPicPr>
                  </pic:nvPicPr>
                  <pic:blipFill>
                    <a:blip r:embed="rId4"/>
                    <a:srcRect/>
                    <a:stretch>
                      <a:fillRect/>
                    </a:stretch>
                  </pic:blipFill>
                  <pic:spPr bwMode="auto">
                    <a:xfrm>
                      <a:off x="0" y="0"/>
                      <a:ext cx="1714500" cy="1704975"/>
                    </a:xfrm>
                    <a:prstGeom prst="rect">
                      <a:avLst/>
                    </a:prstGeom>
                    <a:noFill/>
                    <a:ln w="9525">
                      <a:noFill/>
                      <a:miter lim="800000"/>
                      <a:headEnd/>
                      <a:tailEnd/>
                    </a:ln>
                  </pic:spPr>
                </pic:pic>
              </a:graphicData>
            </a:graphic>
          </wp:inline>
        </w:drawing>
      </w:r>
    </w:p>
    <w:p w:rsidR="00EC7F44" w:rsidRDefault="00EC7F44">
      <w:pPr>
        <w:rPr>
          <w:rFonts w:hint="cs"/>
          <w:rtl/>
        </w:rPr>
      </w:pPr>
    </w:p>
    <w:tbl>
      <w:tblPr>
        <w:tblW w:w="8250" w:type="dxa"/>
        <w:jc w:val="center"/>
        <w:tblCellSpacing w:w="0" w:type="dxa"/>
        <w:tblCellMar>
          <w:left w:w="0" w:type="dxa"/>
          <w:right w:w="0" w:type="dxa"/>
        </w:tblCellMar>
        <w:tblLook w:val="04A0"/>
      </w:tblPr>
      <w:tblGrid>
        <w:gridCol w:w="8250"/>
      </w:tblGrid>
      <w:tr w:rsidR="00EC7F44" w:rsidTr="00EC7F44">
        <w:trPr>
          <w:trHeight w:val="4500"/>
          <w:tblCellSpacing w:w="0" w:type="dxa"/>
          <w:jc w:val="center"/>
        </w:trPr>
        <w:tc>
          <w:tcPr>
            <w:tcW w:w="0" w:type="auto"/>
            <w:shd w:val="clear" w:color="auto" w:fill="FFFFFF"/>
            <w:hideMark/>
          </w:tcPr>
          <w:tbl>
            <w:tblPr>
              <w:tblW w:w="8250" w:type="dxa"/>
              <w:tblCellSpacing w:w="37" w:type="dxa"/>
              <w:tblCellMar>
                <w:left w:w="0" w:type="dxa"/>
                <w:right w:w="0" w:type="dxa"/>
              </w:tblCellMar>
              <w:tblLook w:val="04A0"/>
            </w:tblPr>
            <w:tblGrid>
              <w:gridCol w:w="8250"/>
            </w:tblGrid>
            <w:tr w:rsidR="00EC7F44">
              <w:trPr>
                <w:trHeight w:val="6000"/>
                <w:tblCellSpacing w:w="37" w:type="dxa"/>
              </w:trPr>
              <w:tc>
                <w:tcPr>
                  <w:tcW w:w="0" w:type="auto"/>
                  <w:shd w:val="clear" w:color="auto" w:fill="FFFFFF"/>
                  <w:tcMar>
                    <w:top w:w="75" w:type="dxa"/>
                    <w:left w:w="75" w:type="dxa"/>
                    <w:bottom w:w="75" w:type="dxa"/>
                    <w:right w:w="75" w:type="dxa"/>
                  </w:tcMar>
                </w:tcPr>
                <w:p w:rsidR="00EC7F44" w:rsidRDefault="00EC7F44">
                  <w:pPr>
                    <w:bidi/>
                    <w:spacing w:before="100" w:beforeAutospacing="1" w:after="100" w:afterAutospacing="1" w:line="360" w:lineRule="auto"/>
                    <w:rPr>
                      <w:rFonts w:ascii="Arial" w:hAnsi="Arial" w:cs="Arial"/>
                      <w:color w:val="000000"/>
                    </w:rPr>
                  </w:pPr>
                  <w:r>
                    <w:rPr>
                      <w:rFonts w:ascii="Arial" w:hAnsi="Arial" w:cs="Arial"/>
                      <w:color w:val="000000"/>
                      <w:rtl/>
                    </w:rPr>
                    <w:t> </w:t>
                  </w:r>
                </w:p>
                <w:p w:rsidR="00EC7F44" w:rsidRDefault="00EC7F44">
                  <w:pPr>
                    <w:bidi/>
                    <w:spacing w:before="100" w:beforeAutospacing="1" w:after="100" w:afterAutospacing="1" w:line="360" w:lineRule="atLeast"/>
                    <w:jc w:val="right"/>
                    <w:rPr>
                      <w:color w:val="1F497D" w:themeColor="dark2"/>
                    </w:rPr>
                  </w:pPr>
                  <w:r>
                    <w:rPr>
                      <w:rFonts w:ascii="Arial" w:hAnsi="Arial" w:cs="Arial"/>
                      <w:b/>
                      <w:bCs/>
                      <w:color w:val="000000"/>
                      <w:sz w:val="20"/>
                      <w:szCs w:val="20"/>
                    </w:rPr>
                    <w:t>16/11/2015</w:t>
                  </w:r>
                </w:p>
                <w:p w:rsidR="00EC7F44" w:rsidRDefault="00EC7F44">
                  <w:pPr>
                    <w:bidi/>
                    <w:spacing w:before="100" w:beforeAutospacing="1" w:after="100" w:afterAutospacing="1" w:line="360" w:lineRule="atLeast"/>
                    <w:jc w:val="right"/>
                    <w:rPr>
                      <w:rFonts w:asciiTheme="minorHAnsi" w:hAnsiTheme="minorHAnsi" w:cstheme="minorBidi" w:hint="cs"/>
                      <w:b/>
                      <w:bCs/>
                      <w:color w:val="1F497D" w:themeColor="dark2"/>
                      <w:sz w:val="22"/>
                      <w:szCs w:val="22"/>
                      <w:rtl/>
                    </w:rPr>
                  </w:pPr>
                </w:p>
                <w:p w:rsidR="00EC7F44" w:rsidRDefault="00EC7F44">
                  <w:pPr>
                    <w:spacing w:before="100" w:beforeAutospacing="1" w:after="100" w:afterAutospacing="1" w:line="360" w:lineRule="atLeast"/>
                    <w:jc w:val="right"/>
                    <w:rPr>
                      <w:color w:val="1F497D" w:themeColor="dark2"/>
                      <w:rtl/>
                    </w:rPr>
                  </w:pPr>
                  <w:r>
                    <w:rPr>
                      <w:rFonts w:cs="David" w:hint="cs"/>
                      <w:b/>
                      <w:bCs/>
                      <w:color w:val="000000"/>
                      <w:rtl/>
                    </w:rPr>
                    <w:t xml:space="preserve">לכבוד </w:t>
                  </w:r>
                </w:p>
                <w:p w:rsidR="00EC7F44" w:rsidRDefault="00EC7F44">
                  <w:pPr>
                    <w:bidi/>
                    <w:spacing w:before="100" w:beforeAutospacing="1" w:after="100" w:afterAutospacing="1"/>
                    <w:rPr>
                      <w:rFonts w:ascii="Arial" w:hAnsi="Arial" w:cs="Arial" w:hint="cs"/>
                      <w:color w:val="1F497D" w:themeColor="dark2"/>
                      <w:rtl/>
                    </w:rPr>
                  </w:pPr>
                  <w:r>
                    <w:rPr>
                      <w:rFonts w:cs="David" w:hint="cs"/>
                      <w:b/>
                      <w:bCs/>
                      <w:color w:val="000000"/>
                      <w:rtl/>
                    </w:rPr>
                    <w:t>שמעון סודאי</w:t>
                  </w:r>
                </w:p>
                <w:p w:rsidR="00EC7F44" w:rsidRDefault="00EC7F44">
                  <w:pPr>
                    <w:bidi/>
                    <w:spacing w:before="100" w:beforeAutospacing="1" w:after="100" w:afterAutospacing="1" w:line="360" w:lineRule="auto"/>
                    <w:rPr>
                      <w:rFonts w:ascii="Arial" w:hAnsi="Arial" w:cs="Arial"/>
                      <w:color w:val="1F497D" w:themeColor="dark2"/>
                      <w:rtl/>
                    </w:rPr>
                  </w:pPr>
                  <w:r>
                    <w:rPr>
                      <w:rFonts w:cs="David" w:hint="cs"/>
                      <w:b/>
                      <w:bCs/>
                      <w:color w:val="000000"/>
                      <w:rtl/>
                    </w:rPr>
                    <w:t>שלום רב,</w:t>
                  </w:r>
                </w:p>
                <w:p w:rsidR="00EC7F44" w:rsidRDefault="00EC7F44">
                  <w:pPr>
                    <w:bidi/>
                    <w:spacing w:before="100" w:beforeAutospacing="1" w:after="100" w:afterAutospacing="1" w:line="360" w:lineRule="auto"/>
                    <w:rPr>
                      <w:rFonts w:ascii="Arial" w:hAnsi="Arial" w:cs="Arial"/>
                      <w:color w:val="1F497D"/>
                      <w:rtl/>
                    </w:rPr>
                  </w:pPr>
                  <w:r>
                    <w:rPr>
                      <w:rFonts w:cs="David" w:hint="cs"/>
                      <w:b/>
                      <w:bCs/>
                      <w:color w:val="000000"/>
                      <w:rtl/>
                    </w:rPr>
                    <w:t>אני מבקש לברך אותך על התנדבותך לפעילות בעמותת אור ירוק</w:t>
                  </w:r>
                </w:p>
                <w:p w:rsidR="00EC7F44" w:rsidRDefault="00EC7F44">
                  <w:pPr>
                    <w:bidi/>
                    <w:spacing w:before="100" w:beforeAutospacing="1" w:after="100" w:afterAutospacing="1" w:line="360" w:lineRule="auto"/>
                    <w:rPr>
                      <w:rFonts w:ascii="Arial" w:hAnsi="Arial" w:cs="Arial"/>
                      <w:color w:val="1F497D" w:themeColor="dark2"/>
                      <w:rtl/>
                    </w:rPr>
                  </w:pPr>
                  <w:r>
                    <w:rPr>
                      <w:rFonts w:cs="David" w:hint="cs"/>
                      <w:b/>
                      <w:bCs/>
                      <w:color w:val="000000"/>
                      <w:rtl/>
                    </w:rPr>
                    <w:t xml:space="preserve">המאבק בתאונות הדרכים הוא משימה שחשיבותה עליונה, והצלת חיים היא השליחות המשמעותית ביותר שיכול אדם לקבל על עצמו. </w:t>
                  </w:r>
                </w:p>
                <w:p w:rsidR="00EC7F44" w:rsidRDefault="00EC7F44">
                  <w:pPr>
                    <w:bidi/>
                    <w:spacing w:before="100" w:beforeAutospacing="1" w:after="100" w:afterAutospacing="1" w:line="360" w:lineRule="auto"/>
                    <w:rPr>
                      <w:rFonts w:ascii="Arial" w:hAnsi="Arial" w:cs="Arial"/>
                      <w:color w:val="1F497D"/>
                      <w:rtl/>
                    </w:rPr>
                  </w:pPr>
                  <w:r>
                    <w:rPr>
                      <w:rFonts w:cs="David" w:hint="cs"/>
                      <w:b/>
                      <w:bCs/>
                      <w:color w:val="000000"/>
                      <w:rtl/>
                    </w:rPr>
                    <w:t>מסגרת התנדבותך באור ירוק תזכה לחוש שוב ושוב את תחושת הסיפוק והטעם השמורות לאנשים המערבים עצמם בהצלת חיים. המאמץ להוריד את מספר ההרוגים בכבישים קשה ורצוף, אבל מניב פירות רבים, בדמותם של חיים צעירים רבים שניצלים, ונכויות וטראומות רבות מספור הנמנעות בזכות פעילות המתנדבים שאליהם אתה מצטרף.</w:t>
                  </w:r>
                </w:p>
                <w:p w:rsidR="00EC7F44" w:rsidRDefault="00EC7F44">
                  <w:pPr>
                    <w:bidi/>
                    <w:spacing w:before="100" w:beforeAutospacing="1" w:after="100" w:afterAutospacing="1" w:line="360" w:lineRule="auto"/>
                    <w:rPr>
                      <w:rFonts w:ascii="Arial" w:hAnsi="Arial" w:cs="Arial"/>
                      <w:color w:val="1F497D"/>
                      <w:rtl/>
                    </w:rPr>
                  </w:pPr>
                  <w:r>
                    <w:rPr>
                      <w:rFonts w:cs="David" w:hint="cs"/>
                      <w:b/>
                      <w:bCs/>
                      <w:color w:val="000000"/>
                      <w:rtl/>
                    </w:rPr>
                    <w:t>חשיבות רבה נודעת גם לתנועת ההתנדבות הגוברת, המעלה את הנושא לקדמת סדר היום ועל ידי הפשלת שרוולים משותפת, נוטלת אחריות אישית ורואה ברכה בעמלה.</w:t>
                  </w:r>
                </w:p>
                <w:p w:rsidR="00EC7F44" w:rsidRDefault="00EC7F44">
                  <w:pPr>
                    <w:bidi/>
                    <w:spacing w:before="100" w:beforeAutospacing="1" w:after="100" w:afterAutospacing="1" w:line="360" w:lineRule="auto"/>
                    <w:rPr>
                      <w:rFonts w:ascii="Arial" w:hAnsi="Arial" w:cs="Arial"/>
                      <w:color w:val="000000"/>
                      <w:rtl/>
                    </w:rPr>
                  </w:pPr>
                  <w:r>
                    <w:rPr>
                      <w:rFonts w:cs="David" w:hint="cs"/>
                      <w:b/>
                      <w:bCs/>
                      <w:color w:val="000000"/>
                      <w:rtl/>
                    </w:rPr>
                    <w:t xml:space="preserve">בספרות המוסר שבמקורותינו עומדים חז"ל על המתח שבין שני כוחות בסיסיים שהם תכונות היסוד של הנפש, ומהם נגזרות כל שאר התכונות: כוח הנטילה וכוח הנתינה. נטיית האנוש הטבעית היא ליטול עוד ועוד, בעוד שהנתינה מצטמצמת למעגלי האחריות המשפחתית הקרובים ביותר. היהדות מורה לנו להפוך את הסדר ולחזק את כוח הנתינה על </w:t>
                  </w:r>
                  <w:r>
                    <w:rPr>
                      <w:rFonts w:cs="David" w:hint="cs"/>
                      <w:b/>
                      <w:bCs/>
                      <w:color w:val="000000"/>
                      <w:rtl/>
                    </w:rPr>
                    <w:lastRenderedPageBreak/>
                    <w:t xml:space="preserve">חשבון כוח הנטילה, על ידי הרחבת מעגלי הנהנים מכוח הנתינה הקיים בתוכנו. </w:t>
                  </w:r>
                </w:p>
                <w:p w:rsidR="00EC7F44" w:rsidRDefault="00EC7F44">
                  <w:pPr>
                    <w:bidi/>
                    <w:spacing w:before="100" w:beforeAutospacing="1" w:after="100" w:afterAutospacing="1" w:line="360" w:lineRule="auto"/>
                    <w:rPr>
                      <w:rFonts w:ascii="Arial" w:hAnsi="Arial" w:cs="Arial"/>
                      <w:color w:val="1F497D" w:themeColor="dark2"/>
                      <w:rtl/>
                    </w:rPr>
                  </w:pPr>
                  <w:r>
                    <w:rPr>
                      <w:rFonts w:cs="David" w:hint="cs"/>
                      <w:b/>
                      <w:bCs/>
                      <w:color w:val="000000"/>
                      <w:rtl/>
                    </w:rPr>
                    <w:t>הצטרפותך להתנדבות באור ירוק מבטאת את ראיית עצמך כחלק מכלל, וכמי שחש אחריות כלפי הכלל, ולא רק כלפי עצמו, ועל כך הערכתי הרבה.  ישר כוח!</w:t>
                  </w:r>
                </w:p>
                <w:p w:rsidR="00EC7F44" w:rsidRDefault="00EC7F44">
                  <w:pPr>
                    <w:bidi/>
                    <w:spacing w:before="100" w:beforeAutospacing="1" w:after="100" w:afterAutospacing="1" w:line="360" w:lineRule="auto"/>
                    <w:rPr>
                      <w:rFonts w:ascii="Arial" w:hAnsi="Arial" w:cs="Arial"/>
                      <w:color w:val="000000"/>
                      <w:rtl/>
                    </w:rPr>
                  </w:pPr>
                  <w:r>
                    <w:rPr>
                      <w:rFonts w:cs="David" w:hint="cs"/>
                      <w:b/>
                      <w:bCs/>
                      <w:color w:val="000000"/>
                      <w:rtl/>
                    </w:rPr>
                    <w:t>                                                                                                   בברכה, </w:t>
                  </w:r>
                </w:p>
                <w:p w:rsidR="00EC7F44" w:rsidRDefault="00EC7F44">
                  <w:pPr>
                    <w:bidi/>
                    <w:spacing w:before="100" w:beforeAutospacing="1" w:after="100" w:afterAutospacing="1" w:line="360" w:lineRule="auto"/>
                    <w:rPr>
                      <w:rFonts w:ascii="Arial" w:hAnsi="Arial" w:cs="Arial"/>
                      <w:color w:val="000000"/>
                      <w:rtl/>
                    </w:rPr>
                  </w:pPr>
                  <w:r>
                    <w:rPr>
                      <w:rFonts w:cs="David" w:hint="cs"/>
                      <w:b/>
                      <w:bCs/>
                      <w:color w:val="000000"/>
                      <w:rtl/>
                    </w:rPr>
                    <w:t xml:space="preserve">                                                                                                 שמואל </w:t>
                  </w:r>
                  <w:proofErr w:type="spellStart"/>
                  <w:r>
                    <w:rPr>
                      <w:rFonts w:cs="David" w:hint="cs"/>
                      <w:b/>
                      <w:bCs/>
                      <w:color w:val="000000"/>
                      <w:rtl/>
                    </w:rPr>
                    <w:t>אבואב</w:t>
                  </w:r>
                  <w:proofErr w:type="spellEnd"/>
                  <w:r>
                    <w:rPr>
                      <w:rFonts w:cs="David" w:hint="cs"/>
                      <w:b/>
                      <w:bCs/>
                      <w:color w:val="000000"/>
                      <w:rtl/>
                    </w:rPr>
                    <w:t xml:space="preserve"> </w:t>
                  </w:r>
                </w:p>
                <w:p w:rsidR="00EC7F44" w:rsidRDefault="00EC7F44">
                  <w:pPr>
                    <w:bidi/>
                    <w:spacing w:before="100" w:beforeAutospacing="1" w:after="100" w:afterAutospacing="1" w:line="360" w:lineRule="auto"/>
                    <w:rPr>
                      <w:rFonts w:ascii="Arial" w:hAnsi="Arial" w:cs="Arial"/>
                      <w:color w:val="000000"/>
                    </w:rPr>
                  </w:pPr>
                  <w:r>
                    <w:rPr>
                      <w:rFonts w:cs="David" w:hint="cs"/>
                      <w:b/>
                      <w:bCs/>
                      <w:color w:val="000000"/>
                      <w:rtl/>
                    </w:rPr>
                    <w:t>                                                                                                 מנכ"ל עמותת אור ירוק.</w:t>
                  </w:r>
                </w:p>
              </w:tc>
            </w:tr>
          </w:tbl>
          <w:p w:rsidR="00EC7F44" w:rsidRDefault="00EC7F44">
            <w:pPr>
              <w:rPr>
                <w:rFonts w:asciiTheme="minorHAnsi" w:eastAsiaTheme="minorEastAsia" w:hAnsiTheme="minorHAnsi" w:cstheme="minorBidi"/>
                <w:sz w:val="22"/>
                <w:szCs w:val="22"/>
              </w:rPr>
            </w:pPr>
          </w:p>
        </w:tc>
      </w:tr>
      <w:tr w:rsidR="00EC7F44" w:rsidTr="00EC7F44">
        <w:trPr>
          <w:tblCellSpacing w:w="0" w:type="dxa"/>
          <w:jc w:val="center"/>
        </w:trPr>
        <w:tc>
          <w:tcPr>
            <w:tcW w:w="0" w:type="auto"/>
            <w:shd w:val="clear" w:color="auto" w:fill="FFFFFF"/>
            <w:hideMark/>
          </w:tcPr>
          <w:p w:rsidR="00EC7F44" w:rsidRDefault="00EC7F44">
            <w:pPr>
              <w:rPr>
                <w:rFonts w:asciiTheme="minorHAnsi" w:eastAsiaTheme="minorEastAsia" w:hAnsiTheme="minorHAnsi" w:cstheme="minorBidi"/>
                <w:sz w:val="22"/>
                <w:szCs w:val="22"/>
              </w:rPr>
            </w:pPr>
          </w:p>
        </w:tc>
      </w:tr>
      <w:tr w:rsidR="00EC7F44" w:rsidTr="00EC7F44">
        <w:trPr>
          <w:trHeight w:val="1500"/>
          <w:tblCellSpacing w:w="0" w:type="dxa"/>
          <w:jc w:val="center"/>
        </w:trPr>
        <w:tc>
          <w:tcPr>
            <w:tcW w:w="0" w:type="auto"/>
            <w:shd w:val="clear" w:color="auto" w:fill="FFFFFF"/>
            <w:hideMark/>
          </w:tcPr>
          <w:p w:rsidR="00EC7F44" w:rsidRDefault="00EC7F44">
            <w:pPr>
              <w:rPr>
                <w:rFonts w:asciiTheme="minorHAnsi" w:eastAsiaTheme="minorEastAsia" w:hAnsiTheme="minorHAnsi" w:cstheme="minorBidi"/>
                <w:sz w:val="22"/>
                <w:szCs w:val="22"/>
              </w:rPr>
            </w:pPr>
          </w:p>
        </w:tc>
      </w:tr>
      <w:tr w:rsidR="00EC7F44" w:rsidTr="00EC7F44">
        <w:trPr>
          <w:tblCellSpacing w:w="0" w:type="dxa"/>
          <w:jc w:val="center"/>
        </w:trPr>
        <w:tc>
          <w:tcPr>
            <w:tcW w:w="0" w:type="auto"/>
            <w:shd w:val="clear" w:color="auto" w:fill="FFFFFF"/>
            <w:hideMark/>
          </w:tcPr>
          <w:p w:rsidR="00EC7F44" w:rsidRDefault="00EC7F44">
            <w:pPr>
              <w:rPr>
                <w:rFonts w:asciiTheme="minorHAnsi" w:eastAsiaTheme="minorEastAsia" w:hAnsiTheme="minorHAnsi" w:cstheme="minorBidi"/>
                <w:sz w:val="22"/>
                <w:szCs w:val="22"/>
              </w:rPr>
            </w:pPr>
          </w:p>
        </w:tc>
      </w:tr>
    </w:tbl>
    <w:p w:rsidR="00EC7F44" w:rsidRDefault="00EC7F44" w:rsidP="00EC7F44">
      <w:pPr>
        <w:spacing w:after="240"/>
      </w:pPr>
    </w:p>
    <w:p w:rsidR="00EC7F44" w:rsidRDefault="00EC7F44" w:rsidP="00EC7F44">
      <w:pPr>
        <w:rPr>
          <w:rFonts w:hint="cs"/>
        </w:rPr>
      </w:pPr>
      <w:r>
        <w:br/>
      </w:r>
    </w:p>
    <w:sectPr w:rsidR="00EC7F44" w:rsidSect="0064308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C7F44"/>
    <w:rsid w:val="00193A84"/>
    <w:rsid w:val="0064308C"/>
    <w:rsid w:val="00EC7F4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F44"/>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7F44"/>
    <w:rPr>
      <w:rFonts w:ascii="Tahoma" w:hAnsi="Tahoma" w:cs="Tahoma"/>
      <w:sz w:val="16"/>
      <w:szCs w:val="16"/>
    </w:rPr>
  </w:style>
  <w:style w:type="character" w:customStyle="1" w:styleId="a4">
    <w:name w:val="טקסט בלונים תו"/>
    <w:basedOn w:val="a0"/>
    <w:link w:val="a3"/>
    <w:uiPriority w:val="99"/>
    <w:semiHidden/>
    <w:rsid w:val="00EC7F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86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249</Words>
  <Characters>1246</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2015-11-30T04:31:00Z</dcterms:created>
  <dcterms:modified xsi:type="dcterms:W3CDTF">2015-11-30T04:33:00Z</dcterms:modified>
</cp:coreProperties>
</file>